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D2" w:rsidRDefault="00F135D2">
      <w:pPr>
        <w:pStyle w:val="Title"/>
        <w:rPr>
          <w:rFonts w:ascii="Century Gothic" w:hAnsi="Century Gothic" w:cs="Arial"/>
          <w:color w:val="FF0000"/>
          <w:sz w:val="20"/>
        </w:rPr>
      </w:pPr>
      <w:bookmarkStart w:id="0" w:name="_GoBack"/>
      <w:bookmarkEnd w:id="0"/>
    </w:p>
    <w:p w:rsidR="00F135D2" w:rsidRDefault="00F135D2">
      <w:pPr>
        <w:pStyle w:val="Title"/>
        <w:rPr>
          <w:rFonts w:ascii="Century Gothic" w:hAnsi="Century Gothic" w:cs="Arial"/>
          <w:color w:val="FF0000"/>
          <w:sz w:val="20"/>
        </w:rPr>
      </w:pPr>
    </w:p>
    <w:p w:rsidR="00F135D2" w:rsidRDefault="00F135D2">
      <w:pPr>
        <w:pStyle w:val="Subtitle"/>
      </w:pPr>
    </w:p>
    <w:p w:rsidR="00F135D2" w:rsidRDefault="00F135D2">
      <w:pPr>
        <w:pStyle w:val="BodyText"/>
      </w:pPr>
    </w:p>
    <w:p w:rsidR="00F135D2" w:rsidRDefault="00F135D2">
      <w:pPr>
        <w:pStyle w:val="Title"/>
        <w:rPr>
          <w:rFonts w:ascii="Century Gothic" w:hAnsi="Century Gothic" w:cs="Arial"/>
          <w:color w:val="76923C"/>
          <w:sz w:val="20"/>
        </w:rPr>
      </w:pPr>
    </w:p>
    <w:p w:rsidR="00F135D2" w:rsidRDefault="008F55FA">
      <w:pPr>
        <w:pStyle w:val="Subtitle"/>
        <w:jc w:val="center"/>
      </w:pPr>
      <w:r>
        <w:rPr>
          <w:noProof/>
          <w:lang w:eastAsia="en-GB"/>
        </w:rPr>
        <w:drawing>
          <wp:inline distT="0" distB="0" distL="0" distR="0">
            <wp:extent cx="2857500" cy="676275"/>
            <wp:effectExtent l="0" t="0" r="0" b="0"/>
            <wp:docPr id="1" name="Picture 1" descr="ianpross-logo-300-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anpross-logo-300-wide"/>
                    <pic:cNvPicPr>
                      <a:picLocks noChangeAspect="1" noChangeArrowheads="1"/>
                    </pic:cNvPicPr>
                  </pic:nvPicPr>
                  <pic:blipFill>
                    <a:blip r:embed="rId8"/>
                    <a:stretch>
                      <a:fillRect/>
                    </a:stretch>
                  </pic:blipFill>
                  <pic:spPr bwMode="auto">
                    <a:xfrm>
                      <a:off x="0" y="0"/>
                      <a:ext cx="2857500" cy="676275"/>
                    </a:xfrm>
                    <a:prstGeom prst="rect">
                      <a:avLst/>
                    </a:prstGeom>
                  </pic:spPr>
                </pic:pic>
              </a:graphicData>
            </a:graphic>
          </wp:inline>
        </w:drawing>
      </w:r>
      <w:r>
        <w:rPr>
          <w:rFonts w:ascii="Century Gothic" w:hAnsi="Century Gothic" w:cs="Arial"/>
          <w:b w:val="0"/>
          <w:sz w:val="20"/>
        </w:rPr>
        <w:br/>
      </w:r>
    </w:p>
    <w:p w:rsidR="00F135D2" w:rsidRDefault="008F55FA">
      <w:pPr>
        <w:pStyle w:val="Subtitle"/>
        <w:jc w:val="center"/>
        <w:rPr>
          <w:rFonts w:ascii="Century Gothic" w:hAnsi="Century Gothic" w:cs="Arial"/>
          <w:b w:val="0"/>
          <w:sz w:val="20"/>
        </w:rPr>
      </w:pPr>
      <w:r>
        <w:rPr>
          <w:rFonts w:ascii="Century Gothic" w:hAnsi="Century Gothic" w:cs="Arial"/>
          <w:b w:val="0"/>
          <w:sz w:val="20"/>
        </w:rPr>
        <w:t>41 Vulcan Close, Beckton, London E6 5NY</w:t>
      </w:r>
    </w:p>
    <w:p w:rsidR="00F135D2" w:rsidRDefault="008F55FA">
      <w:pPr>
        <w:pStyle w:val="Subtitle"/>
        <w:jc w:val="center"/>
      </w:pPr>
      <w:r>
        <w:rPr>
          <w:rFonts w:ascii="Century Gothic" w:hAnsi="Century Gothic" w:cs="Arial"/>
          <w:b w:val="0"/>
          <w:sz w:val="20"/>
        </w:rPr>
        <w:t>Telephone: 07980 467173</w:t>
      </w:r>
      <w:r>
        <w:rPr>
          <w:rFonts w:ascii="Century Gothic" w:hAnsi="Century Gothic" w:cs="Arial"/>
          <w:b w:val="0"/>
          <w:sz w:val="20"/>
        </w:rPr>
        <w:br/>
        <w:t xml:space="preserve">Email </w:t>
      </w:r>
      <w:hyperlink r:id="rId9">
        <w:r>
          <w:rPr>
            <w:rStyle w:val="Hyperlink"/>
            <w:rFonts w:ascii="Century Gothic" w:hAnsi="Century Gothic" w:cs="Arial"/>
            <w:b w:val="0"/>
            <w:color w:val="9FBE3C"/>
            <w:sz w:val="20"/>
          </w:rPr>
          <w:t>cv@ianpross.co.uk</w:t>
        </w:r>
      </w:hyperlink>
    </w:p>
    <w:p w:rsidR="00F135D2" w:rsidRDefault="008F55FA">
      <w:pPr>
        <w:pStyle w:val="Subtitle"/>
        <w:jc w:val="center"/>
      </w:pPr>
      <w:r>
        <w:rPr>
          <w:rFonts w:ascii="Century Gothic" w:hAnsi="Century Gothic" w:cs="Arial"/>
          <w:b w:val="0"/>
          <w:sz w:val="20"/>
        </w:rPr>
        <w:t xml:space="preserve">Web: </w:t>
      </w:r>
      <w:hyperlink r:id="rId10">
        <w:r>
          <w:rPr>
            <w:rStyle w:val="Hyperlink"/>
            <w:rFonts w:ascii="Century Gothic" w:hAnsi="Century Gothic" w:cs="Arial"/>
            <w:b w:val="0"/>
            <w:color w:val="9FBE3C"/>
            <w:sz w:val="20"/>
          </w:rPr>
          <w:t>www.ianpross.co.uk</w:t>
        </w:r>
      </w:hyperlink>
    </w:p>
    <w:p w:rsidR="00F135D2" w:rsidRDefault="00F135D2">
      <w:pPr>
        <w:pStyle w:val="BodyText"/>
        <w:rPr>
          <w:rFonts w:ascii="Century Gothic" w:hAnsi="Century Gothic"/>
        </w:rPr>
      </w:pPr>
    </w:p>
    <w:p w:rsidR="00F135D2" w:rsidRDefault="00F135D2">
      <w:pPr>
        <w:pStyle w:val="Subtitle"/>
        <w:rPr>
          <w:rFonts w:ascii="Century Gothic" w:hAnsi="Century Gothic" w:cs="Arial"/>
          <w:sz w:val="20"/>
        </w:rPr>
      </w:pPr>
    </w:p>
    <w:p w:rsidR="00F135D2" w:rsidRDefault="008F55FA">
      <w:pPr>
        <w:pStyle w:val="Subtitle"/>
        <w:rPr>
          <w:rFonts w:ascii="Century Gothic" w:hAnsi="Century Gothic" w:cs="Arial"/>
          <w:color w:val="9FBE3C"/>
          <w:sz w:val="20"/>
        </w:rPr>
      </w:pPr>
      <w:r>
        <w:rPr>
          <w:rFonts w:ascii="Century Gothic" w:hAnsi="Century Gothic" w:cs="Arial"/>
          <w:color w:val="9FBE3C"/>
          <w:sz w:val="20"/>
        </w:rPr>
        <w:t>PERSONAL</w:t>
      </w:r>
    </w:p>
    <w:p w:rsidR="00F135D2" w:rsidRDefault="008F55FA">
      <w:pPr>
        <w:pStyle w:val="Subtitle"/>
      </w:pPr>
      <w:r>
        <w:rPr>
          <w:rFonts w:ascii="Century Gothic" w:hAnsi="Century Gothic" w:cs="Arial"/>
          <w:b w:val="0"/>
          <w:sz w:val="20"/>
        </w:rPr>
        <w:t xml:space="preserve">I am an ambitious, well organised </w:t>
      </w:r>
      <w:r>
        <w:rPr>
          <w:rFonts w:ascii="Century Gothic" w:hAnsi="Century Gothic" w:cs="Arial"/>
          <w:b w:val="0"/>
          <w:sz w:val="20"/>
        </w:rPr>
        <w:t>and conscientious individual who possesses excellent financial market awareness and communication skills.</w:t>
      </w:r>
      <w:r>
        <w:rPr>
          <w:rFonts w:ascii="Century Gothic" w:eastAsia="Batang" w:hAnsi="Century Gothic" w:cs="Arial"/>
          <w:b w:val="0"/>
          <w:sz w:val="20"/>
          <w:lang w:val="en-US" w:eastAsia="ko-KR"/>
        </w:rPr>
        <w:t xml:space="preserve">A self starter with a developed attitude to risk, I can demonstrate the ability to continually develop and build upon technical expertise. Can work to </w:t>
      </w:r>
      <w:r>
        <w:rPr>
          <w:rFonts w:ascii="Century Gothic" w:eastAsia="Batang" w:hAnsi="Century Gothic" w:cs="Arial"/>
          <w:b w:val="0"/>
          <w:sz w:val="20"/>
          <w:lang w:val="en-US" w:eastAsia="ko-KR"/>
        </w:rPr>
        <w:t>tight deadlines and manage high volumes in a methodical, organised way.</w:t>
      </w:r>
    </w:p>
    <w:p w:rsidR="00F135D2" w:rsidRDefault="00F135D2">
      <w:pPr>
        <w:pStyle w:val="BodyText"/>
        <w:rPr>
          <w:rFonts w:eastAsia="Batang"/>
          <w:lang w:val="en-US" w:eastAsia="ko-KR"/>
        </w:rPr>
      </w:pPr>
    </w:p>
    <w:p w:rsidR="00F135D2" w:rsidRDefault="008F55FA">
      <w:pPr>
        <w:pStyle w:val="BodyText"/>
        <w:rPr>
          <w:rFonts w:ascii="Century Gothic" w:eastAsia="Batang" w:hAnsi="Century Gothic" w:cs="Arial"/>
          <w:lang w:val="en-US" w:eastAsia="ko-KR"/>
        </w:rPr>
      </w:pPr>
      <w:r>
        <w:rPr>
          <w:rFonts w:ascii="Century Gothic" w:eastAsia="Batang" w:hAnsi="Century Gothic" w:cs="Arial"/>
          <w:lang w:val="en-US" w:eastAsia="ko-KR"/>
        </w:rPr>
        <w:t xml:space="preserve">An experienced business Tax Analyst and Financial Services professional with wide ranging Securities and Investment knowledge gained in Investment Banking, Global Custody and Asset </w:t>
      </w:r>
      <w:r>
        <w:rPr>
          <w:rFonts w:ascii="Century Gothic" w:eastAsia="Batang" w:hAnsi="Century Gothic" w:cs="Arial"/>
          <w:lang w:val="en-US" w:eastAsia="ko-KR"/>
        </w:rPr>
        <w:t>Management</w:t>
      </w:r>
    </w:p>
    <w:p w:rsidR="00F135D2" w:rsidRDefault="008F55FA">
      <w:pPr>
        <w:pStyle w:val="BodyText"/>
        <w:jc w:val="center"/>
      </w:pPr>
      <w:r>
        <w:rPr>
          <w:noProof/>
          <w:lang w:eastAsia="en-GB"/>
        </w:rPr>
        <w:drawing>
          <wp:inline distT="0" distB="0" distL="0" distR="0">
            <wp:extent cx="1905000" cy="19050"/>
            <wp:effectExtent l="0" t="0" r="0" b="0"/>
            <wp:docPr id="2" name="Picture 2"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Subtitle"/>
        <w:rPr>
          <w:rFonts w:ascii="Century Gothic" w:hAnsi="Century Gothic" w:cs="Arial"/>
          <w:color w:val="9FBE3C"/>
          <w:sz w:val="20"/>
        </w:rPr>
      </w:pPr>
      <w:r>
        <w:rPr>
          <w:rFonts w:ascii="Century Gothic" w:hAnsi="Century Gothic" w:cs="Arial"/>
          <w:color w:val="9FBE3C"/>
          <w:sz w:val="20"/>
        </w:rPr>
        <w:t>TECHNICAL / SYSTEM SKILLS</w:t>
      </w:r>
    </w:p>
    <w:p w:rsidR="00F135D2" w:rsidRDefault="008F55FA">
      <w:pPr>
        <w:pStyle w:val="Subtitle"/>
        <w:rPr>
          <w:rFonts w:ascii="Century Gothic" w:hAnsi="Century Gothic" w:cs="Arial"/>
          <w:b w:val="0"/>
          <w:sz w:val="20"/>
        </w:rPr>
      </w:pPr>
      <w:r>
        <w:rPr>
          <w:rFonts w:ascii="Century Gothic" w:hAnsi="Century Gothic" w:cs="Arial"/>
          <w:b w:val="0"/>
          <w:sz w:val="20"/>
        </w:rPr>
        <w:t>CASS, FundMaster, TRAMS, Tax Manager, Milvus, Astrid, RIMS, Swift, Intellimatch, TLM Connect (Smartstream) , EUCLID Crest GUI, POSTS, Bloomberg, Reuters, CAMS, CATS, Fidessa, Horizon, Class Custody, Global 1, Smartstr</w:t>
      </w:r>
      <w:r>
        <w:rPr>
          <w:rFonts w:ascii="Century Gothic" w:hAnsi="Century Gothic" w:cs="Arial"/>
          <w:b w:val="0"/>
          <w:sz w:val="20"/>
        </w:rPr>
        <w:t>eam, Mint, and also have experience on the following universal software: Microsoft:  Windows, Excel, Outlook, Word &amp; Internet Explorer.</w:t>
      </w:r>
    </w:p>
    <w:p w:rsidR="00F135D2" w:rsidRDefault="008F55FA">
      <w:pPr>
        <w:pStyle w:val="BodyText"/>
        <w:jc w:val="center"/>
      </w:pPr>
      <w:r>
        <w:rPr>
          <w:noProof/>
          <w:lang w:eastAsia="en-GB"/>
        </w:rPr>
        <w:drawing>
          <wp:inline distT="0" distB="0" distL="0" distR="0">
            <wp:extent cx="1905000" cy="19050"/>
            <wp:effectExtent l="0" t="0" r="0" b="0"/>
            <wp:docPr id="3" name="Picture 3"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Subtitle"/>
      </w:pPr>
      <w:r>
        <w:rPr>
          <w:rFonts w:ascii="Century Gothic" w:hAnsi="Century Gothic" w:cs="Arial"/>
          <w:color w:val="9FBE3C"/>
          <w:sz w:val="20"/>
        </w:rPr>
        <w:t>KEY SKILLS</w:t>
      </w:r>
    </w:p>
    <w:p w:rsidR="00F135D2" w:rsidRDefault="008F55FA">
      <w:pPr>
        <w:pStyle w:val="BodyText"/>
        <w:rPr>
          <w:rFonts w:ascii="Century Gothic" w:hAnsi="Century Gothic" w:cs="Arial"/>
        </w:rPr>
      </w:pPr>
      <w:r>
        <w:rPr>
          <w:rFonts w:ascii="Century Gothic" w:hAnsi="Century Gothic" w:cs="Arial"/>
        </w:rPr>
        <w:t>Dividend Income processing across all markets</w:t>
      </w:r>
    </w:p>
    <w:p w:rsidR="00F135D2" w:rsidRDefault="008F55FA">
      <w:pPr>
        <w:pStyle w:val="BodyText"/>
        <w:rPr>
          <w:rFonts w:ascii="Century Gothic" w:hAnsi="Century Gothic" w:cs="Arial"/>
        </w:rPr>
      </w:pPr>
      <w:r>
        <w:rPr>
          <w:rFonts w:ascii="Century Gothic" w:hAnsi="Century Gothic" w:cs="Arial"/>
        </w:rPr>
        <w:t>Tax reclamations and Tax Relief at Source across all markets</w:t>
      </w:r>
    </w:p>
    <w:p w:rsidR="00F135D2" w:rsidRDefault="008F55FA">
      <w:pPr>
        <w:pStyle w:val="BodyText"/>
        <w:rPr>
          <w:rFonts w:ascii="Century Gothic" w:hAnsi="Century Gothic" w:cs="Arial"/>
        </w:rPr>
      </w:pPr>
      <w:r>
        <w:rPr>
          <w:rFonts w:ascii="Century Gothic" w:hAnsi="Century Gothic" w:cs="Arial"/>
        </w:rPr>
        <w:t>Tax documentation</w:t>
      </w:r>
    </w:p>
    <w:p w:rsidR="00F135D2" w:rsidRDefault="008F55FA">
      <w:pPr>
        <w:pStyle w:val="BodyText"/>
        <w:rPr>
          <w:rFonts w:ascii="Century Gothic" w:hAnsi="Century Gothic" w:cs="Arial"/>
        </w:rPr>
      </w:pPr>
      <w:r>
        <w:rPr>
          <w:rFonts w:ascii="Century Gothic" w:hAnsi="Century Gothic" w:cs="Arial"/>
        </w:rPr>
        <w:t>Tax matrices and Double Taxation Treaty analysis</w:t>
      </w:r>
    </w:p>
    <w:p w:rsidR="00F135D2" w:rsidRDefault="008F55FA">
      <w:pPr>
        <w:pStyle w:val="BodyText"/>
        <w:rPr>
          <w:rFonts w:ascii="Century Gothic" w:hAnsi="Century Gothic" w:cs="Arial"/>
        </w:rPr>
      </w:pPr>
      <w:r>
        <w:rPr>
          <w:rFonts w:ascii="Century Gothic" w:hAnsi="Century Gothic" w:cs="Arial"/>
        </w:rPr>
        <w:t xml:space="preserve">Tax Gap analysis for tax </w:t>
      </w:r>
    </w:p>
    <w:p w:rsidR="00F135D2" w:rsidRDefault="008F55FA">
      <w:pPr>
        <w:pStyle w:val="BodyText"/>
        <w:rPr>
          <w:rFonts w:ascii="Century Gothic" w:hAnsi="Century Gothic" w:cs="Arial"/>
        </w:rPr>
      </w:pPr>
      <w:r>
        <w:rPr>
          <w:rFonts w:ascii="Century Gothic" w:hAnsi="Century Gothic" w:cs="Arial"/>
        </w:rPr>
        <w:t>Tax Compliance and Regulatory change</w:t>
      </w:r>
    </w:p>
    <w:p w:rsidR="00F135D2" w:rsidRDefault="008F55FA">
      <w:pPr>
        <w:pStyle w:val="BodyText"/>
        <w:rPr>
          <w:rFonts w:ascii="Century Gothic" w:hAnsi="Century Gothic" w:cs="Arial"/>
        </w:rPr>
      </w:pPr>
      <w:r>
        <w:rPr>
          <w:rFonts w:ascii="Century Gothic" w:hAnsi="Century Gothic" w:cs="Arial"/>
        </w:rPr>
        <w:t>Tax in house system upgrades and tax static data updates</w:t>
      </w:r>
    </w:p>
    <w:p w:rsidR="00F135D2" w:rsidRDefault="008F55FA">
      <w:pPr>
        <w:pStyle w:val="BodyText"/>
        <w:rPr>
          <w:rFonts w:ascii="Century Gothic" w:hAnsi="Century Gothic" w:cs="Arial"/>
        </w:rPr>
      </w:pPr>
      <w:r>
        <w:rPr>
          <w:rFonts w:ascii="Century Gothic" w:hAnsi="Century Gothic" w:cs="Arial"/>
        </w:rPr>
        <w:t>Asset Servicing</w:t>
      </w:r>
    </w:p>
    <w:p w:rsidR="00F135D2" w:rsidRDefault="008F55FA">
      <w:pPr>
        <w:pStyle w:val="BodyText"/>
        <w:rPr>
          <w:rFonts w:ascii="Century Gothic" w:hAnsi="Century Gothic" w:cs="Arial"/>
        </w:rPr>
      </w:pPr>
      <w:r>
        <w:rPr>
          <w:rFonts w:ascii="Century Gothic" w:hAnsi="Century Gothic" w:cs="Arial"/>
        </w:rPr>
        <w:t>Communicate with internal business teams and external</w:t>
      </w:r>
      <w:r>
        <w:rPr>
          <w:rFonts w:ascii="Century Gothic" w:hAnsi="Century Gothic" w:cs="Arial"/>
        </w:rPr>
        <w:t xml:space="preserve"> clients Sub Custodians and Tax Authorities</w:t>
      </w:r>
    </w:p>
    <w:p w:rsidR="00F135D2" w:rsidRDefault="008F55FA">
      <w:pPr>
        <w:pStyle w:val="BodyText"/>
        <w:jc w:val="center"/>
      </w:pPr>
      <w:r>
        <w:rPr>
          <w:noProof/>
          <w:lang w:eastAsia="en-GB"/>
        </w:rPr>
        <w:drawing>
          <wp:inline distT="0" distB="0" distL="0" distR="0">
            <wp:extent cx="1905000" cy="19050"/>
            <wp:effectExtent l="0" t="0" r="0" b="0"/>
            <wp:docPr id="4" name="Image1"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F135D2">
      <w:pPr>
        <w:pStyle w:val="BodyText"/>
        <w:rPr>
          <w:rFonts w:ascii="Century Gothic" w:hAnsi="Century Gothic" w:cs="Arial"/>
        </w:rPr>
      </w:pPr>
    </w:p>
    <w:p w:rsidR="00F135D2" w:rsidRDefault="00F135D2">
      <w:pPr>
        <w:pStyle w:val="BodyText"/>
        <w:rPr>
          <w:rFonts w:ascii="Century Gothic" w:hAnsi="Century Gothic" w:cs="Arial"/>
        </w:rPr>
      </w:pPr>
    </w:p>
    <w:p w:rsidR="00F135D2" w:rsidRDefault="00F135D2">
      <w:pPr>
        <w:pStyle w:val="BodyText"/>
        <w:rPr>
          <w:rFonts w:ascii="Century Gothic" w:hAnsi="Century Gothic" w:cs="Arial"/>
        </w:rPr>
      </w:pPr>
    </w:p>
    <w:p w:rsidR="00F135D2" w:rsidRDefault="00F135D2">
      <w:pPr>
        <w:pStyle w:val="BodyText"/>
        <w:rPr>
          <w:rFonts w:ascii="Century Gothic" w:hAnsi="Century Gothic" w:cs="Arial"/>
        </w:rPr>
      </w:pPr>
    </w:p>
    <w:p w:rsidR="00F135D2" w:rsidRDefault="00F135D2">
      <w:pPr>
        <w:pStyle w:val="BodyText"/>
        <w:rPr>
          <w:rFonts w:ascii="Century Gothic" w:hAnsi="Century Gothic" w:cs="Arial"/>
        </w:rPr>
      </w:pPr>
    </w:p>
    <w:p w:rsidR="00F135D2" w:rsidRDefault="00F135D2">
      <w:pPr>
        <w:pStyle w:val="BodyText"/>
      </w:pPr>
    </w:p>
    <w:p w:rsidR="00F135D2" w:rsidRDefault="008F55FA">
      <w:pPr>
        <w:pStyle w:val="Subtitle"/>
        <w:rPr>
          <w:rFonts w:ascii="Century Gothic" w:hAnsi="Century Gothic" w:cs="Arial"/>
          <w:color w:val="9FBE3C"/>
          <w:sz w:val="20"/>
        </w:rPr>
      </w:pPr>
      <w:r>
        <w:rPr>
          <w:rFonts w:ascii="Century Gothic" w:hAnsi="Century Gothic" w:cs="Arial"/>
          <w:color w:val="9FBE3C"/>
          <w:sz w:val="20"/>
        </w:rPr>
        <w:lastRenderedPageBreak/>
        <w:t>CAREER HISTORY</w:t>
      </w:r>
    </w:p>
    <w:p w:rsidR="00F135D2" w:rsidRDefault="00F135D2">
      <w:pPr>
        <w:pStyle w:val="BodyText"/>
        <w:rPr>
          <w:rFonts w:ascii="Century Gothic" w:hAnsi="Century Gothic" w:cs="Arial"/>
          <w:color w:val="9FBE3C"/>
        </w:rPr>
      </w:pPr>
    </w:p>
    <w:p w:rsidR="00F135D2" w:rsidRDefault="008F55FA">
      <w:pPr>
        <w:pStyle w:val="BodyText"/>
        <w:rPr>
          <w:b/>
          <w:bCs/>
        </w:rPr>
      </w:pPr>
      <w:r>
        <w:rPr>
          <w:rFonts w:ascii="Century Gothic" w:hAnsi="Century Gothic" w:cs="Arial"/>
          <w:b/>
          <w:bCs/>
          <w:color w:val="9FBE3C"/>
        </w:rPr>
        <w:t xml:space="preserve">State Street Bank and Trust : </w:t>
      </w:r>
      <w:r>
        <w:rPr>
          <w:rFonts w:ascii="Century Gothic" w:hAnsi="Century Gothic" w:cs="Arial"/>
          <w:bCs/>
          <w:color w:val="000000"/>
        </w:rPr>
        <w:t xml:space="preserve">September 2022 to May 2024 – Tax Officer Global Process Delivery Tax Services </w:t>
      </w:r>
    </w:p>
    <w:p w:rsidR="00F135D2" w:rsidRDefault="008F55FA">
      <w:pPr>
        <w:pStyle w:val="BodyText"/>
      </w:pPr>
      <w:r>
        <w:rPr>
          <w:rFonts w:ascii="Century Gothic" w:hAnsi="Century Gothic" w:cs="Arial"/>
          <w:color w:val="000000"/>
        </w:rPr>
        <w:t xml:space="preserve">Track progress with Tax Table Review and Re-structuring. Work with offshore </w:t>
      </w:r>
      <w:r>
        <w:rPr>
          <w:rFonts w:ascii="Century Gothic" w:hAnsi="Century Gothic" w:cs="Arial"/>
          <w:color w:val="000000"/>
        </w:rPr>
        <w:t>teams to ensure all required detail and data is being received in a timely manner for client onboarding and conversion.</w:t>
      </w:r>
    </w:p>
    <w:p w:rsidR="00F135D2" w:rsidRDefault="008F55FA">
      <w:pPr>
        <w:pStyle w:val="BodyText"/>
      </w:pPr>
      <w:r>
        <w:rPr>
          <w:rFonts w:ascii="Century Gothic" w:hAnsi="Century Gothic" w:cs="Arial"/>
          <w:color w:val="000000"/>
        </w:rPr>
        <w:t>To provide support to both the Client Relationship Managers and Investment Operations Teams and project teams in tracking and overseeing</w:t>
      </w:r>
      <w:r>
        <w:rPr>
          <w:rFonts w:ascii="Century Gothic" w:hAnsi="Century Gothic" w:cs="Arial"/>
          <w:color w:val="000000"/>
        </w:rPr>
        <w:t xml:space="preserve"> maintenance of Tax rates within all applicable systems and resolving client queries. Interaction with clients and other external internal SSC parties in creating and pro-actively maintaining tax rates and identifying issues as well as managing resolutions</w:t>
      </w:r>
      <w:r>
        <w:rPr>
          <w:rFonts w:ascii="Century Gothic" w:hAnsi="Century Gothic" w:cs="Arial"/>
          <w:color w:val="000000"/>
        </w:rPr>
        <w:t xml:space="preserve"> and communicating to the client where applicable. </w:t>
      </w:r>
    </w:p>
    <w:p w:rsidR="00F135D2" w:rsidRDefault="008F55FA">
      <w:pPr>
        <w:pStyle w:val="BodyText"/>
      </w:pPr>
      <w:r>
        <w:rPr>
          <w:rFonts w:ascii="Century Gothic" w:hAnsi="Century Gothic" w:cs="Arial"/>
          <w:color w:val="000000"/>
        </w:rPr>
        <w:t>Provide guidance and support in acting as a resource to assist team members from multiple operational areas  for both onshore and offshore locations, who are responsible for ensuring the database within E</w:t>
      </w:r>
      <w:r>
        <w:rPr>
          <w:rFonts w:ascii="Century Gothic" w:hAnsi="Century Gothic" w:cs="Arial"/>
          <w:color w:val="000000"/>
        </w:rPr>
        <w:t xml:space="preserve">nterprise systems are maintained accurately and within required timeframes to allow the business to use effectively.  </w:t>
      </w:r>
      <w:bookmarkStart w:id="1" w:name="_Hlk161382066"/>
      <w:bookmarkEnd w:id="1"/>
    </w:p>
    <w:p w:rsidR="00F135D2" w:rsidRDefault="008F55FA">
      <w:pPr>
        <w:pStyle w:val="BodyText"/>
        <w:rPr>
          <w:rFonts w:ascii="Century Gothic" w:hAnsi="Century Gothic" w:cs="Arial"/>
          <w:color w:val="9FBE3C"/>
        </w:rPr>
      </w:pPr>
      <w:r>
        <w:rPr>
          <w:rFonts w:ascii="Century Gothic" w:hAnsi="Century Gothic" w:cs="Arial"/>
          <w:color w:val="000000"/>
        </w:rPr>
        <w:t>Adhoc client tax remediation of tax tables and review and resolution on monthly tax breaks.</w:t>
      </w:r>
    </w:p>
    <w:p w:rsidR="00F135D2" w:rsidRDefault="008F55FA">
      <w:pPr>
        <w:pStyle w:val="BodyText"/>
      </w:pPr>
      <w:r>
        <w:rPr>
          <w:rFonts w:ascii="Century Gothic" w:hAnsi="Century Gothic" w:cs="Arial"/>
          <w:b/>
          <w:bCs/>
        </w:rPr>
        <w:t>Reason for leaving</w:t>
      </w:r>
      <w:r>
        <w:rPr>
          <w:rFonts w:ascii="Century Gothic" w:hAnsi="Century Gothic" w:cs="Arial"/>
          <w:bCs/>
        </w:rPr>
        <w:t xml:space="preserve"> - Redundancy</w:t>
      </w:r>
    </w:p>
    <w:p w:rsidR="00F135D2" w:rsidRDefault="00F135D2">
      <w:pPr>
        <w:pStyle w:val="BodyText"/>
        <w:rPr>
          <w:rFonts w:ascii="Century Gothic" w:hAnsi="Century Gothic" w:cs="Arial"/>
          <w:bCs/>
        </w:rPr>
      </w:pPr>
    </w:p>
    <w:p w:rsidR="00F135D2" w:rsidRDefault="008F55FA">
      <w:pPr>
        <w:pStyle w:val="BodyText"/>
      </w:pPr>
      <w:r>
        <w:rPr>
          <w:rFonts w:ascii="Century Gothic" w:hAnsi="Century Gothic" w:cs="Arial"/>
          <w:b/>
          <w:color w:val="9FBE3C"/>
        </w:rPr>
        <w:t>Royal Bank o</w:t>
      </w:r>
      <w:r>
        <w:rPr>
          <w:rFonts w:ascii="Century Gothic" w:hAnsi="Century Gothic" w:cs="Arial"/>
          <w:b/>
          <w:color w:val="9FBE3C"/>
        </w:rPr>
        <w:t xml:space="preserve">f Canada </w:t>
      </w:r>
      <w:r>
        <w:rPr>
          <w:rFonts w:ascii="Century Gothic" w:hAnsi="Century Gothic"/>
        </w:rPr>
        <w:t xml:space="preserve">: </w:t>
      </w:r>
      <w:r>
        <w:rPr>
          <w:rFonts w:ascii="Century Gothic" w:hAnsi="Century Gothic"/>
          <w:b/>
          <w:bCs/>
        </w:rPr>
        <w:t>March 2021 to March 2022 and</w:t>
      </w:r>
      <w:r>
        <w:rPr>
          <w:rFonts w:ascii="Century Gothic" w:hAnsi="Century Gothic"/>
        </w:rPr>
        <w:t xml:space="preserve"> </w:t>
      </w:r>
      <w:r>
        <w:rPr>
          <w:rFonts w:ascii="Century Gothic" w:hAnsi="Century Gothic"/>
          <w:b/>
        </w:rPr>
        <w:t>November 2018 to November 2020 – Senior Tax Analyst   Support</w:t>
      </w:r>
      <w:r>
        <w:rPr>
          <w:rFonts w:ascii="Century Gothic" w:hAnsi="Century Gothic" w:cs="Arial"/>
          <w:b/>
        </w:rPr>
        <w:t xml:space="preserve"> –  Contract 2021 to present  Fixed Term Contract  2018-2020</w:t>
      </w:r>
    </w:p>
    <w:p w:rsidR="00F135D2" w:rsidRDefault="008F55FA">
      <w:pPr>
        <w:pStyle w:val="BodyText"/>
        <w:rPr>
          <w:rFonts w:ascii="Century Gothic" w:hAnsi="Century Gothic" w:cs="Arial"/>
        </w:rPr>
      </w:pPr>
      <w:r>
        <w:rPr>
          <w:rFonts w:ascii="Century Gothic" w:hAnsi="Century Gothic" w:cs="Arial"/>
        </w:rPr>
        <w:t>The implementation of tax related change using knowledge of tax principles for all global mark</w:t>
      </w:r>
      <w:r>
        <w:rPr>
          <w:rFonts w:ascii="Century Gothic" w:hAnsi="Century Gothic" w:cs="Arial"/>
        </w:rPr>
        <w:t>ets. Complete analysis of tax market changes to determine the impact on I&amp;TS and clients in relation to Relief at Source under DTT and tax reclaim process</w:t>
      </w:r>
    </w:p>
    <w:p w:rsidR="00F135D2" w:rsidRDefault="008F55FA">
      <w:pPr>
        <w:pStyle w:val="BodyText"/>
        <w:rPr>
          <w:rFonts w:ascii="Century Gothic" w:hAnsi="Century Gothic" w:cs="Arial"/>
        </w:rPr>
      </w:pPr>
      <w:r>
        <w:rPr>
          <w:rFonts w:ascii="Century Gothic" w:hAnsi="Century Gothic" w:cs="Arial"/>
        </w:rPr>
        <w:t>Ensure all market changes are operationalised through policy procedures or IT changes. Provide suppor</w:t>
      </w:r>
      <w:r>
        <w:rPr>
          <w:rFonts w:ascii="Century Gothic" w:hAnsi="Century Gothic" w:cs="Arial"/>
        </w:rPr>
        <w:t>t and expertise in an advisory capacity to support implementation of change projects impacting the tax area. Provide expertise in the field of Relief at Source under DTT and Tax reclaims as required in client service and client initiated due diligence audi</w:t>
      </w:r>
      <w:r>
        <w:rPr>
          <w:rFonts w:ascii="Century Gothic" w:hAnsi="Century Gothic" w:cs="Arial"/>
        </w:rPr>
        <w:t xml:space="preserve">t. And Senior operational face to clients, market regulators and Local Tax Authorities with regards regulatory tax compliance and governance. </w:t>
      </w:r>
    </w:p>
    <w:p w:rsidR="00F135D2" w:rsidRDefault="008F55FA">
      <w:pPr>
        <w:pStyle w:val="BodyText"/>
        <w:rPr>
          <w:rFonts w:ascii="Century Gothic" w:hAnsi="Century Gothic" w:cs="Arial"/>
        </w:rPr>
      </w:pPr>
      <w:r>
        <w:rPr>
          <w:rFonts w:ascii="Century Gothic" w:hAnsi="Century Gothic" w:cs="Arial"/>
        </w:rPr>
        <w:t>Tax related projects involving change in Sub Custodians and internal migrations due to decommissioning of interna</w:t>
      </w:r>
      <w:r>
        <w:rPr>
          <w:rFonts w:ascii="Century Gothic" w:hAnsi="Century Gothic" w:cs="Arial"/>
        </w:rPr>
        <w:t>l system, and Finnish Annual Information Reporting for Authorised Intermediaries.</w:t>
      </w:r>
    </w:p>
    <w:p w:rsidR="00F135D2" w:rsidRDefault="008F55FA">
      <w:pPr>
        <w:pStyle w:val="Subtitle"/>
        <w:rPr>
          <w:rFonts w:ascii="Century Gothic" w:hAnsi="Century Gothic" w:cs="Arial"/>
        </w:rPr>
      </w:pPr>
      <w:r>
        <w:rPr>
          <w:rFonts w:ascii="Century Gothic" w:hAnsi="Century Gothic" w:cs="Arial"/>
          <w:bCs/>
          <w:sz w:val="20"/>
        </w:rPr>
        <w:t>Reason for leaving</w:t>
      </w:r>
      <w:r>
        <w:rPr>
          <w:rFonts w:ascii="Century Gothic" w:hAnsi="Century Gothic" w:cs="Arial"/>
          <w:b w:val="0"/>
          <w:sz w:val="20"/>
        </w:rPr>
        <w:t xml:space="preserve"> -Project goals achieved </w:t>
      </w:r>
    </w:p>
    <w:p w:rsidR="00F135D2" w:rsidRDefault="00F135D2">
      <w:pPr>
        <w:pStyle w:val="BodyText"/>
        <w:rPr>
          <w:rFonts w:ascii="Century Gothic" w:hAnsi="Century Gothic" w:cs="Arial"/>
          <w:b/>
          <w:color w:val="9FBE3C"/>
        </w:rPr>
      </w:pPr>
    </w:p>
    <w:p w:rsidR="00F135D2" w:rsidRDefault="008F55FA">
      <w:pPr>
        <w:pStyle w:val="BodyText"/>
      </w:pPr>
      <w:r>
        <w:rPr>
          <w:rFonts w:ascii="Century Gothic" w:hAnsi="Century Gothic" w:cs="Arial"/>
          <w:b/>
          <w:color w:val="9FBE3C"/>
        </w:rPr>
        <w:t xml:space="preserve">Northern Trust </w:t>
      </w:r>
      <w:r>
        <w:rPr>
          <w:rFonts w:ascii="Century Gothic" w:hAnsi="Century Gothic"/>
        </w:rPr>
        <w:t xml:space="preserve">: </w:t>
      </w:r>
      <w:r>
        <w:rPr>
          <w:rFonts w:ascii="Century Gothic" w:hAnsi="Century Gothic"/>
          <w:b/>
        </w:rPr>
        <w:t xml:space="preserve">June 2015 to September 2018 - </w:t>
      </w:r>
      <w:r>
        <w:rPr>
          <w:rFonts w:ascii="Century Gothic" w:hAnsi="Century Gothic" w:cs="Arial"/>
          <w:b/>
        </w:rPr>
        <w:t>Senior Tax Analyst – Contract – Business Analyst Project T2S</w:t>
      </w:r>
    </w:p>
    <w:p w:rsidR="00F135D2" w:rsidRDefault="008F55FA">
      <w:pPr>
        <w:pStyle w:val="BodyText"/>
      </w:pPr>
      <w:r>
        <w:rPr>
          <w:rFonts w:ascii="Century Gothic" w:hAnsi="Century Gothic" w:cs="Arial"/>
          <w:b/>
          <w:color w:val="555555"/>
        </w:rPr>
        <w:t>Reason for leaving</w:t>
      </w:r>
      <w:r>
        <w:rPr>
          <w:rFonts w:ascii="Century Gothic" w:hAnsi="Century Gothic" w:cs="Arial"/>
        </w:rPr>
        <w:t xml:space="preserve"> – T2S programme for migration postponed</w:t>
      </w:r>
    </w:p>
    <w:p w:rsidR="00F135D2" w:rsidRDefault="00F135D2">
      <w:pPr>
        <w:pStyle w:val="BodyText"/>
        <w:rPr>
          <w:rFonts w:ascii="Century Gothic" w:hAnsi="Century Gothic" w:cs="Arial"/>
        </w:rPr>
      </w:pPr>
    </w:p>
    <w:p w:rsidR="00F135D2" w:rsidRDefault="008F55FA">
      <w:pPr>
        <w:pStyle w:val="BodyText"/>
      </w:pPr>
      <w:r>
        <w:rPr>
          <w:rFonts w:ascii="Century Gothic" w:hAnsi="Century Gothic" w:cs="Arial"/>
          <w:b/>
          <w:color w:val="9FBE3C"/>
        </w:rPr>
        <w:t xml:space="preserve">Barclays Capital </w:t>
      </w:r>
      <w:r>
        <w:rPr>
          <w:rFonts w:ascii="Century Gothic" w:hAnsi="Century Gothic"/>
        </w:rPr>
        <w:t xml:space="preserve">: </w:t>
      </w:r>
      <w:r>
        <w:rPr>
          <w:rFonts w:ascii="Century Gothic" w:hAnsi="Century Gothic"/>
          <w:b/>
        </w:rPr>
        <w:t xml:space="preserve">April 2014 to March 2015 - </w:t>
      </w:r>
      <w:r>
        <w:rPr>
          <w:rFonts w:ascii="Century Gothic" w:hAnsi="Century Gothic" w:cs="Arial"/>
          <w:b/>
        </w:rPr>
        <w:t>Senior Tax Operations and US Tax Technical Specialist - Contract</w:t>
      </w:r>
    </w:p>
    <w:p w:rsidR="00F135D2" w:rsidRDefault="008F55FA">
      <w:pPr>
        <w:pStyle w:val="BodyText"/>
      </w:pPr>
      <w:r>
        <w:rPr>
          <w:rFonts w:ascii="Century Gothic" w:hAnsi="Century Gothic" w:cs="Arial"/>
          <w:b/>
          <w:color w:val="555555"/>
        </w:rPr>
        <w:t>Reason for leaving</w:t>
      </w:r>
      <w:r>
        <w:rPr>
          <w:rFonts w:ascii="Century Gothic" w:hAnsi="Century Gothic" w:cs="Arial"/>
        </w:rPr>
        <w:t xml:space="preserve"> –FATCA programme contract completed</w:t>
      </w:r>
    </w:p>
    <w:p w:rsidR="00F135D2" w:rsidRDefault="008F55FA">
      <w:pPr>
        <w:pStyle w:val="BodyText"/>
        <w:jc w:val="center"/>
      </w:pPr>
      <w:r>
        <w:rPr>
          <w:noProof/>
          <w:lang w:eastAsia="en-GB"/>
        </w:rPr>
        <w:drawing>
          <wp:inline distT="0" distB="0" distL="0" distR="0">
            <wp:extent cx="1905000" cy="19050"/>
            <wp:effectExtent l="0" t="0" r="0" b="0"/>
            <wp:docPr id="5" name="Picture 4"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BodyText"/>
      </w:pPr>
      <w:r>
        <w:rPr>
          <w:rFonts w:ascii="Century Gothic" w:hAnsi="Century Gothic" w:cs="Arial"/>
          <w:b/>
          <w:color w:val="9FBE3C"/>
        </w:rPr>
        <w:t>The Royal Bank of Scotland</w:t>
      </w:r>
      <w:r>
        <w:rPr>
          <w:rFonts w:ascii="Century Gothic" w:hAnsi="Century Gothic" w:cs="Arial"/>
          <w:b/>
          <w:color w:val="0000FF"/>
        </w:rPr>
        <w:t xml:space="preserve">: </w:t>
      </w:r>
      <w:r>
        <w:rPr>
          <w:rFonts w:ascii="Century Gothic" w:hAnsi="Century Gothic" w:cs="Arial"/>
          <w:b/>
        </w:rPr>
        <w:t xml:space="preserve">March 2010 to 31 </w:t>
      </w:r>
      <w:r>
        <w:rPr>
          <w:rFonts w:ascii="Century Gothic" w:hAnsi="Century Gothic" w:cs="Arial"/>
          <w:b/>
        </w:rPr>
        <w:t>Dec 2013–Senior Tax Services Analyst / FATCA - Contract</w:t>
      </w:r>
    </w:p>
    <w:p w:rsidR="00F135D2" w:rsidRDefault="008F55FA">
      <w:pPr>
        <w:pStyle w:val="Subtitle"/>
      </w:pPr>
      <w:r>
        <w:rPr>
          <w:rFonts w:ascii="Century Gothic" w:hAnsi="Century Gothic" w:cs="Arial"/>
          <w:b w:val="0"/>
          <w:sz w:val="20"/>
        </w:rPr>
        <w:br/>
      </w:r>
      <w:r>
        <w:rPr>
          <w:rFonts w:ascii="Century Gothic" w:hAnsi="Century Gothic" w:cs="Arial"/>
          <w:color w:val="555555"/>
          <w:sz w:val="20"/>
        </w:rPr>
        <w:t>Reason for leaving</w:t>
      </w:r>
      <w:r>
        <w:rPr>
          <w:rFonts w:ascii="Century Gothic" w:hAnsi="Century Gothic" w:cs="Arial"/>
          <w:sz w:val="20"/>
        </w:rPr>
        <w:t xml:space="preserve"> – </w:t>
      </w:r>
      <w:r>
        <w:rPr>
          <w:rFonts w:ascii="Century Gothic" w:hAnsi="Century Gothic" w:cs="Arial"/>
          <w:b w:val="0"/>
          <w:sz w:val="20"/>
        </w:rPr>
        <w:t xml:space="preserve">Contract goals achieved.  </w:t>
      </w:r>
    </w:p>
    <w:p w:rsidR="00F135D2" w:rsidRDefault="008F55FA">
      <w:pPr>
        <w:pStyle w:val="BodyText"/>
        <w:jc w:val="center"/>
      </w:pPr>
      <w:r>
        <w:rPr>
          <w:noProof/>
          <w:lang w:eastAsia="en-GB"/>
        </w:rPr>
        <w:drawing>
          <wp:inline distT="0" distB="0" distL="0" distR="0">
            <wp:extent cx="1905000" cy="19050"/>
            <wp:effectExtent l="0" t="0" r="0" b="0"/>
            <wp:docPr id="6" name="Image2"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Subtitle"/>
      </w:pPr>
      <w:r>
        <w:rPr>
          <w:rFonts w:ascii="Century Gothic" w:hAnsi="Century Gothic" w:cs="Arial"/>
          <w:color w:val="9FBE3C"/>
          <w:sz w:val="20"/>
        </w:rPr>
        <w:t>CitiGroup Global Markets</w:t>
      </w:r>
      <w:r>
        <w:rPr>
          <w:rFonts w:ascii="Century Gothic" w:hAnsi="Century Gothic" w:cs="Arial"/>
          <w:color w:val="555555"/>
          <w:sz w:val="20"/>
        </w:rPr>
        <w:t>– June 2009 to March 2010 – Senior Dividend Analyst - Contract</w:t>
      </w:r>
    </w:p>
    <w:p w:rsidR="00F135D2" w:rsidRDefault="00F135D2">
      <w:pPr>
        <w:pStyle w:val="BodyText"/>
      </w:pPr>
    </w:p>
    <w:p w:rsidR="00F135D2" w:rsidRDefault="008F55FA">
      <w:pPr>
        <w:pStyle w:val="BodyText"/>
      </w:pPr>
      <w:r>
        <w:rPr>
          <w:rFonts w:ascii="Century Gothic" w:hAnsi="Century Gothic" w:cs="Arial"/>
          <w:b/>
          <w:color w:val="555555"/>
        </w:rPr>
        <w:t>Reason for leaving</w:t>
      </w:r>
      <w:r>
        <w:rPr>
          <w:rFonts w:ascii="Century Gothic" w:hAnsi="Century Gothic" w:cs="Arial"/>
        </w:rPr>
        <w:t xml:space="preserve"> – Temporary project completed</w:t>
      </w:r>
    </w:p>
    <w:p w:rsidR="00F135D2" w:rsidRDefault="008F55FA">
      <w:pPr>
        <w:pStyle w:val="BodyText"/>
        <w:jc w:val="center"/>
      </w:pPr>
      <w:r>
        <w:rPr>
          <w:noProof/>
          <w:lang w:eastAsia="en-GB"/>
        </w:rPr>
        <w:drawing>
          <wp:inline distT="0" distB="0" distL="0" distR="0">
            <wp:extent cx="1905000" cy="19050"/>
            <wp:effectExtent l="0" t="0" r="0" b="0"/>
            <wp:docPr id="7" name="Image3"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BodyText"/>
      </w:pPr>
      <w:r>
        <w:rPr>
          <w:rFonts w:ascii="Century Gothic" w:hAnsi="Century Gothic" w:cs="Arial"/>
          <w:b/>
          <w:bCs/>
          <w:color w:val="9FBE3C"/>
        </w:rPr>
        <w:t>Northern T</w:t>
      </w:r>
      <w:r>
        <w:rPr>
          <w:rFonts w:ascii="Century Gothic" w:hAnsi="Century Gothic" w:cs="Arial"/>
          <w:b/>
          <w:bCs/>
          <w:color w:val="9FBE3C"/>
        </w:rPr>
        <w:t>rust</w:t>
      </w:r>
      <w:r>
        <w:rPr>
          <w:rFonts w:ascii="Century Gothic" w:hAnsi="Century Gothic" w:cs="Arial"/>
          <w:b/>
          <w:bCs/>
          <w:color w:val="555555"/>
        </w:rPr>
        <w:t xml:space="preserve">- August 2008 to June 2009 – Senior Income Analyst - Contract </w:t>
      </w:r>
    </w:p>
    <w:p w:rsidR="00F135D2" w:rsidRDefault="008F55FA">
      <w:pPr>
        <w:pStyle w:val="BodyText"/>
      </w:pPr>
      <w:r>
        <w:rPr>
          <w:rFonts w:ascii="Century Gothic" w:hAnsi="Century Gothic" w:cs="Arial"/>
          <w:b/>
          <w:color w:val="555555"/>
        </w:rPr>
        <w:t>Reason for leaving</w:t>
      </w:r>
      <w:r>
        <w:rPr>
          <w:rFonts w:ascii="Century Gothic" w:hAnsi="Century Gothic" w:cs="Arial"/>
          <w:b/>
        </w:rPr>
        <w:t xml:space="preserve"> – </w:t>
      </w:r>
      <w:r>
        <w:rPr>
          <w:rFonts w:ascii="Century Gothic" w:hAnsi="Century Gothic" w:cs="Arial"/>
        </w:rPr>
        <w:t xml:space="preserve">Temporary contract expired due to migration. </w:t>
      </w:r>
    </w:p>
    <w:p w:rsidR="00F135D2" w:rsidRDefault="008F55FA">
      <w:pPr>
        <w:pStyle w:val="BodyText"/>
        <w:jc w:val="center"/>
      </w:pPr>
      <w:r>
        <w:rPr>
          <w:noProof/>
          <w:lang w:eastAsia="en-GB"/>
        </w:rPr>
        <w:lastRenderedPageBreak/>
        <w:drawing>
          <wp:inline distT="0" distB="0" distL="0" distR="0">
            <wp:extent cx="1905000" cy="19050"/>
            <wp:effectExtent l="0" t="0" r="0" b="0"/>
            <wp:docPr id="8" name="Picture 5"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Subtitle"/>
      </w:pPr>
      <w:r>
        <w:rPr>
          <w:rFonts w:ascii="Century Gothic" w:hAnsi="Century Gothic" w:cs="Arial"/>
          <w:color w:val="9FBE3C"/>
          <w:sz w:val="20"/>
        </w:rPr>
        <w:t>Commerzbank</w:t>
      </w:r>
      <w:r>
        <w:rPr>
          <w:rFonts w:ascii="Century Gothic" w:hAnsi="Century Gothic" w:cs="Arial"/>
          <w:color w:val="555555"/>
          <w:sz w:val="20"/>
        </w:rPr>
        <w:t xml:space="preserve"> – November 2007 – to July 2008 - Dividend Controller Equity Derivatives - Contract / Permanent</w:t>
      </w:r>
    </w:p>
    <w:p w:rsidR="00F135D2" w:rsidRDefault="00F135D2">
      <w:pPr>
        <w:pStyle w:val="Subtitle"/>
        <w:rPr>
          <w:rFonts w:ascii="Century Gothic" w:hAnsi="Century Gothic" w:cs="Arial"/>
          <w:sz w:val="20"/>
        </w:rPr>
      </w:pPr>
    </w:p>
    <w:p w:rsidR="00F135D2" w:rsidRDefault="008F55FA">
      <w:pPr>
        <w:pStyle w:val="BodyText"/>
      </w:pPr>
      <w:r>
        <w:rPr>
          <w:rFonts w:ascii="Century Gothic" w:hAnsi="Century Gothic" w:cs="Arial"/>
          <w:b/>
          <w:color w:val="555555"/>
        </w:rPr>
        <w:t xml:space="preserve">Reason for </w:t>
      </w:r>
      <w:r>
        <w:rPr>
          <w:rFonts w:ascii="Century Gothic" w:hAnsi="Century Gothic" w:cs="Arial"/>
          <w:b/>
          <w:color w:val="555555"/>
        </w:rPr>
        <w:t>leaving –</w:t>
      </w:r>
      <w:r>
        <w:rPr>
          <w:rFonts w:ascii="Century Gothic" w:hAnsi="Century Gothic" w:cs="Arial"/>
        </w:rPr>
        <w:t xml:space="preserve">Function migrated back to Frankfurt. </w:t>
      </w:r>
    </w:p>
    <w:p w:rsidR="00F135D2" w:rsidRDefault="008F55FA">
      <w:pPr>
        <w:pStyle w:val="Subtitle"/>
      </w:pPr>
      <w:r>
        <w:rPr>
          <w:rFonts w:ascii="Century Gothic" w:hAnsi="Century Gothic" w:cs="Arial"/>
          <w:color w:val="9FBE3C"/>
          <w:sz w:val="20"/>
        </w:rPr>
        <w:t>Lehman Brothers</w:t>
      </w:r>
      <w:r>
        <w:rPr>
          <w:rFonts w:ascii="Century Gothic" w:hAnsi="Century Gothic" w:cs="Arial"/>
          <w:color w:val="555555"/>
          <w:sz w:val="20"/>
        </w:rPr>
        <w:t>- January 2006 to November 2007 - Senior Dividend Analyst - Permanent</w:t>
      </w:r>
    </w:p>
    <w:p w:rsidR="00F135D2" w:rsidRDefault="00F135D2">
      <w:pPr>
        <w:pStyle w:val="Subtitle"/>
        <w:rPr>
          <w:rFonts w:ascii="Century Gothic" w:hAnsi="Century Gothic" w:cs="Arial"/>
          <w:sz w:val="20"/>
        </w:rPr>
      </w:pPr>
    </w:p>
    <w:p w:rsidR="00F135D2" w:rsidRDefault="008F55FA">
      <w:pPr>
        <w:pStyle w:val="Subtitle"/>
      </w:pPr>
      <w:r>
        <w:rPr>
          <w:rFonts w:ascii="Century Gothic" w:hAnsi="Century Gothic" w:cs="Arial"/>
          <w:color w:val="555555"/>
          <w:sz w:val="20"/>
        </w:rPr>
        <w:t>Reason for leaving -</w:t>
      </w:r>
      <w:r>
        <w:rPr>
          <w:rFonts w:ascii="Century Gothic" w:hAnsi="Century Gothic" w:cs="Arial"/>
          <w:b w:val="0"/>
          <w:sz w:val="20"/>
        </w:rPr>
        <w:t>Further career in Investment Banking and learn different aspects of Dividends and P&amp;L  reporting proced</w:t>
      </w:r>
      <w:r>
        <w:rPr>
          <w:rFonts w:ascii="Century Gothic" w:hAnsi="Century Gothic" w:cs="Arial"/>
          <w:b w:val="0"/>
          <w:sz w:val="20"/>
        </w:rPr>
        <w:t>ures.</w:t>
      </w:r>
    </w:p>
    <w:p w:rsidR="00F135D2" w:rsidRDefault="008F55FA">
      <w:pPr>
        <w:pStyle w:val="BodyText"/>
        <w:jc w:val="center"/>
      </w:pPr>
      <w:r>
        <w:rPr>
          <w:noProof/>
          <w:lang w:eastAsia="en-GB"/>
        </w:rPr>
        <w:drawing>
          <wp:inline distT="0" distB="0" distL="0" distR="0">
            <wp:extent cx="1905000" cy="19050"/>
            <wp:effectExtent l="0" t="0" r="0" b="0"/>
            <wp:docPr id="9" name="Image4"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Subtitle"/>
      </w:pPr>
      <w:r>
        <w:rPr>
          <w:rFonts w:ascii="Century Gothic" w:hAnsi="Century Gothic" w:cs="Arial"/>
          <w:color w:val="9FBE3C"/>
          <w:sz w:val="20"/>
        </w:rPr>
        <w:t>Deutsche Bank AG</w:t>
      </w:r>
      <w:r>
        <w:rPr>
          <w:rFonts w:ascii="Century Gothic" w:hAnsi="Century Gothic" w:cs="Arial"/>
          <w:color w:val="555555"/>
          <w:sz w:val="20"/>
        </w:rPr>
        <w:t>- February 2005 – January 2006 - Payables / Receivables Stock Loan Dividends /UK Exceptions - Contract</w:t>
      </w:r>
      <w:r>
        <w:rPr>
          <w:rFonts w:ascii="Century Gothic" w:hAnsi="Century Gothic" w:cs="Arial"/>
          <w:color w:val="555555"/>
          <w:sz w:val="20"/>
        </w:rPr>
        <w:br/>
      </w:r>
    </w:p>
    <w:p w:rsidR="00F135D2" w:rsidRDefault="008F55FA">
      <w:pPr>
        <w:pStyle w:val="Subtitle"/>
      </w:pPr>
      <w:r>
        <w:rPr>
          <w:rFonts w:ascii="Century Gothic" w:hAnsi="Century Gothic" w:cs="Arial"/>
          <w:color w:val="555555"/>
          <w:sz w:val="20"/>
        </w:rPr>
        <w:t>Reason for leaving –</w:t>
      </w:r>
      <w:r>
        <w:rPr>
          <w:rFonts w:ascii="Century Gothic" w:hAnsi="Century Gothic" w:cs="Arial"/>
          <w:b w:val="0"/>
          <w:sz w:val="20"/>
        </w:rPr>
        <w:t>Project coming to an end.</w:t>
      </w:r>
    </w:p>
    <w:p w:rsidR="00F135D2" w:rsidRDefault="008F55FA">
      <w:pPr>
        <w:pStyle w:val="BodyText"/>
        <w:jc w:val="center"/>
      </w:pPr>
      <w:r>
        <w:rPr>
          <w:noProof/>
          <w:lang w:eastAsia="en-GB"/>
        </w:rPr>
        <w:drawing>
          <wp:inline distT="0" distB="0" distL="0" distR="0">
            <wp:extent cx="1905000" cy="19050"/>
            <wp:effectExtent l="0" t="0" r="0" b="0"/>
            <wp:docPr id="10" name="Image5"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Subtitle"/>
      </w:pPr>
      <w:r>
        <w:rPr>
          <w:rFonts w:ascii="Century Gothic" w:hAnsi="Century Gothic" w:cs="Arial"/>
          <w:color w:val="9FBE3C"/>
          <w:sz w:val="20"/>
        </w:rPr>
        <w:t>Dresdner Kleinwort Wasserstein Securities Limited -</w:t>
      </w:r>
      <w:r>
        <w:rPr>
          <w:rFonts w:ascii="Century Gothic" w:hAnsi="Century Gothic" w:cs="Arial"/>
          <w:color w:val="555555"/>
          <w:sz w:val="20"/>
        </w:rPr>
        <w:t>February 1999 to December 200</w:t>
      </w:r>
      <w:r>
        <w:rPr>
          <w:rFonts w:ascii="Century Gothic" w:hAnsi="Century Gothic" w:cs="Arial"/>
          <w:color w:val="555555"/>
          <w:sz w:val="20"/>
        </w:rPr>
        <w:t>4 - Senior UK and International Dividends Clerk - Contract /  Permanent</w:t>
      </w:r>
    </w:p>
    <w:p w:rsidR="00F135D2" w:rsidRDefault="00F135D2">
      <w:pPr>
        <w:pStyle w:val="Subtitle"/>
        <w:rPr>
          <w:rFonts w:ascii="Century Gothic" w:hAnsi="Century Gothic" w:cs="Arial"/>
          <w:color w:val="555555"/>
          <w:sz w:val="20"/>
        </w:rPr>
      </w:pPr>
    </w:p>
    <w:p w:rsidR="00F135D2" w:rsidRDefault="008F55FA">
      <w:pPr>
        <w:pStyle w:val="Subtitle"/>
      </w:pPr>
      <w:r>
        <w:rPr>
          <w:rFonts w:ascii="Century Gothic" w:hAnsi="Century Gothic" w:cs="Arial"/>
          <w:color w:val="555555"/>
          <w:sz w:val="20"/>
        </w:rPr>
        <w:t>Reason for leaving –</w:t>
      </w:r>
      <w:r>
        <w:rPr>
          <w:rFonts w:ascii="Century Gothic" w:hAnsi="Century Gothic" w:cs="Arial"/>
          <w:b w:val="0"/>
          <w:sz w:val="20"/>
        </w:rPr>
        <w:t>Redundancy</w:t>
      </w:r>
    </w:p>
    <w:p w:rsidR="00F135D2" w:rsidRDefault="008F55FA">
      <w:pPr>
        <w:pStyle w:val="BodyText"/>
        <w:jc w:val="center"/>
      </w:pPr>
      <w:r>
        <w:rPr>
          <w:noProof/>
          <w:lang w:eastAsia="en-GB"/>
        </w:rPr>
        <w:drawing>
          <wp:inline distT="0" distB="0" distL="0" distR="0">
            <wp:extent cx="1905000" cy="19050"/>
            <wp:effectExtent l="0" t="0" r="0" b="0"/>
            <wp:docPr id="11" name="Image6"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Subtitle"/>
      </w:pPr>
      <w:r>
        <w:rPr>
          <w:rFonts w:ascii="Century Gothic" w:hAnsi="Century Gothic" w:cs="Arial"/>
          <w:color w:val="9FBE3C"/>
          <w:sz w:val="20"/>
        </w:rPr>
        <w:t xml:space="preserve">Banque Nationale de Paris  - </w:t>
      </w:r>
      <w:r>
        <w:rPr>
          <w:rFonts w:ascii="Century Gothic" w:hAnsi="Century Gothic" w:cs="Arial"/>
          <w:color w:val="555555"/>
          <w:sz w:val="20"/>
        </w:rPr>
        <w:t>May 1998 to January 1999 – Senior Technical Officer - Permanent</w:t>
      </w:r>
    </w:p>
    <w:p w:rsidR="00F135D2" w:rsidRDefault="00F135D2">
      <w:pPr>
        <w:pStyle w:val="BodyText"/>
      </w:pPr>
    </w:p>
    <w:p w:rsidR="00F135D2" w:rsidRDefault="008F55FA">
      <w:pPr>
        <w:pStyle w:val="Subtitle"/>
      </w:pPr>
      <w:r>
        <w:rPr>
          <w:rFonts w:ascii="Century Gothic" w:hAnsi="Century Gothic" w:cs="Arial"/>
          <w:color w:val="555555"/>
          <w:sz w:val="20"/>
        </w:rPr>
        <w:t>Reason for leaving</w:t>
      </w:r>
      <w:r>
        <w:rPr>
          <w:rFonts w:ascii="Century Gothic" w:hAnsi="Century Gothic" w:cs="Arial"/>
          <w:b w:val="0"/>
          <w:sz w:val="20"/>
        </w:rPr>
        <w:t xml:space="preserve"> – Pursue a new senior role with </w:t>
      </w:r>
      <w:r>
        <w:rPr>
          <w:rFonts w:ascii="Century Gothic" w:hAnsi="Century Gothic" w:cs="Arial"/>
          <w:b w:val="0"/>
          <w:bCs/>
          <w:sz w:val="20"/>
        </w:rPr>
        <w:t>Dresdner</w:t>
      </w:r>
      <w:r>
        <w:rPr>
          <w:rFonts w:ascii="Century Gothic" w:hAnsi="Century Gothic" w:cs="Arial"/>
          <w:b w:val="0"/>
          <w:sz w:val="20"/>
        </w:rPr>
        <w:t>.</w:t>
      </w:r>
    </w:p>
    <w:p w:rsidR="00F135D2" w:rsidRDefault="008F55FA">
      <w:pPr>
        <w:pStyle w:val="BodyText"/>
        <w:jc w:val="center"/>
      </w:pPr>
      <w:r>
        <w:rPr>
          <w:noProof/>
          <w:lang w:eastAsia="en-GB"/>
        </w:rPr>
        <w:drawing>
          <wp:inline distT="0" distB="0" distL="0" distR="0">
            <wp:extent cx="1905000" cy="19050"/>
            <wp:effectExtent l="0" t="0" r="0" b="0"/>
            <wp:docPr id="12" name="Image7"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Subtitle"/>
      </w:pPr>
      <w:r>
        <w:rPr>
          <w:rFonts w:ascii="Century Gothic" w:hAnsi="Century Gothic" w:cs="Arial"/>
          <w:color w:val="9FBE3C"/>
          <w:sz w:val="20"/>
        </w:rPr>
        <w:t xml:space="preserve">RBS Trust Bank Limited – (formerly S G Warburg )- </w:t>
      </w:r>
      <w:r>
        <w:rPr>
          <w:rFonts w:ascii="Century Gothic" w:hAnsi="Century Gothic" w:cs="Arial"/>
          <w:color w:val="555555"/>
          <w:sz w:val="20"/>
        </w:rPr>
        <w:t>July 1995 to May 1998 – Data capture / Senior Foreign and UK Taxation Clerk - Permanent</w:t>
      </w:r>
    </w:p>
    <w:p w:rsidR="00F135D2" w:rsidRDefault="00F135D2">
      <w:pPr>
        <w:pStyle w:val="BodyText"/>
      </w:pPr>
    </w:p>
    <w:p w:rsidR="00F135D2" w:rsidRDefault="008F55FA">
      <w:pPr>
        <w:pStyle w:val="Subtitle"/>
      </w:pPr>
      <w:r>
        <w:rPr>
          <w:rFonts w:ascii="Century Gothic" w:hAnsi="Century Gothic" w:cs="Arial"/>
          <w:color w:val="555555"/>
          <w:sz w:val="20"/>
        </w:rPr>
        <w:t>Reason for leaving</w:t>
      </w:r>
      <w:r>
        <w:rPr>
          <w:rFonts w:ascii="Century Gothic" w:hAnsi="Century Gothic" w:cs="Arial"/>
          <w:b w:val="0"/>
          <w:sz w:val="20"/>
        </w:rPr>
        <w:t xml:space="preserve"> – Pursue a more senior role within taxation.</w:t>
      </w:r>
    </w:p>
    <w:p w:rsidR="00F135D2" w:rsidRDefault="008F55FA">
      <w:pPr>
        <w:pStyle w:val="BodyText"/>
        <w:jc w:val="center"/>
      </w:pPr>
      <w:r>
        <w:rPr>
          <w:noProof/>
          <w:lang w:eastAsia="en-GB"/>
        </w:rPr>
        <w:drawing>
          <wp:inline distT="0" distB="0" distL="0" distR="0">
            <wp:extent cx="1905000" cy="19050"/>
            <wp:effectExtent l="0" t="0" r="0" b="0"/>
            <wp:docPr id="13" name="Image8"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F135D2">
      <w:pPr>
        <w:pStyle w:val="Subtitle"/>
        <w:rPr>
          <w:rFonts w:ascii="Century Gothic" w:hAnsi="Century Gothic" w:cs="Arial"/>
          <w:sz w:val="20"/>
        </w:rPr>
      </w:pPr>
    </w:p>
    <w:p w:rsidR="00F135D2" w:rsidRDefault="008F55FA">
      <w:pPr>
        <w:pStyle w:val="Subtitle"/>
      </w:pPr>
      <w:r>
        <w:rPr>
          <w:rFonts w:ascii="Century Gothic" w:hAnsi="Century Gothic" w:cs="Arial"/>
          <w:color w:val="9FBE3C"/>
          <w:sz w:val="20"/>
        </w:rPr>
        <w:t xml:space="preserve">State Street Bank and Trust </w:t>
      </w:r>
      <w:r>
        <w:rPr>
          <w:rFonts w:ascii="Century Gothic" w:hAnsi="Century Gothic" w:cs="Arial"/>
          <w:color w:val="555555"/>
          <w:sz w:val="20"/>
        </w:rPr>
        <w:t xml:space="preserve">June 1991 </w:t>
      </w:r>
      <w:r>
        <w:rPr>
          <w:rFonts w:ascii="Century Gothic" w:hAnsi="Century Gothic" w:cs="Arial"/>
          <w:color w:val="555555"/>
          <w:sz w:val="20"/>
        </w:rPr>
        <w:t>– September 1993 – Senior Dividend and Taxation Clerk - Permanent</w:t>
      </w:r>
    </w:p>
    <w:p w:rsidR="00F135D2" w:rsidRDefault="00F135D2">
      <w:pPr>
        <w:pStyle w:val="Subtitle"/>
        <w:rPr>
          <w:rFonts w:ascii="Century Gothic" w:hAnsi="Century Gothic" w:cs="Arial"/>
          <w:color w:val="555555"/>
          <w:sz w:val="20"/>
        </w:rPr>
      </w:pPr>
    </w:p>
    <w:p w:rsidR="00F135D2" w:rsidRDefault="008F55FA">
      <w:pPr>
        <w:pStyle w:val="Subtitle"/>
      </w:pPr>
      <w:r>
        <w:rPr>
          <w:rFonts w:ascii="Century Gothic" w:hAnsi="Century Gothic" w:cs="Arial"/>
          <w:color w:val="555555"/>
          <w:sz w:val="20"/>
        </w:rPr>
        <w:t>Reason for leaving</w:t>
      </w:r>
      <w:r>
        <w:rPr>
          <w:rFonts w:ascii="Century Gothic" w:hAnsi="Century Gothic" w:cs="Arial"/>
          <w:b w:val="0"/>
          <w:sz w:val="20"/>
        </w:rPr>
        <w:t xml:space="preserve"> – Pursue an ambition to travel throughout Australia and Asia</w:t>
      </w:r>
    </w:p>
    <w:p w:rsidR="00F135D2" w:rsidRDefault="008F55FA">
      <w:pPr>
        <w:pStyle w:val="BodyText"/>
        <w:jc w:val="center"/>
      </w:pPr>
      <w:r>
        <w:rPr>
          <w:noProof/>
          <w:lang w:eastAsia="en-GB"/>
        </w:rPr>
        <w:drawing>
          <wp:inline distT="0" distB="0" distL="0" distR="0">
            <wp:extent cx="1905000" cy="19050"/>
            <wp:effectExtent l="0" t="0" r="0" b="0"/>
            <wp:docPr id="14" name="Image9"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F135D2">
      <w:pPr>
        <w:pStyle w:val="Subtitle"/>
        <w:rPr>
          <w:rFonts w:ascii="Century Gothic" w:hAnsi="Century Gothic" w:cs="Arial"/>
          <w:sz w:val="20"/>
        </w:rPr>
      </w:pPr>
    </w:p>
    <w:p w:rsidR="00F135D2" w:rsidRDefault="008F55FA">
      <w:pPr>
        <w:pStyle w:val="Subtitle"/>
      </w:pPr>
      <w:r>
        <w:rPr>
          <w:rFonts w:ascii="Century Gothic" w:hAnsi="Century Gothic" w:cs="Arial"/>
          <w:color w:val="9FBE3C"/>
          <w:sz w:val="20"/>
        </w:rPr>
        <w:t xml:space="preserve">National Westminster Bank Plc.- </w:t>
      </w:r>
      <w:r>
        <w:rPr>
          <w:rFonts w:ascii="Century Gothic" w:hAnsi="Century Gothic" w:cs="Arial"/>
          <w:color w:val="555555"/>
          <w:sz w:val="20"/>
        </w:rPr>
        <w:t>September 1987 – June 1991 - Permanent</w:t>
      </w:r>
    </w:p>
    <w:p w:rsidR="00F135D2" w:rsidRDefault="00F135D2">
      <w:pPr>
        <w:pStyle w:val="BodyText"/>
      </w:pPr>
    </w:p>
    <w:p w:rsidR="00F135D2" w:rsidRDefault="008F55FA">
      <w:pPr>
        <w:pStyle w:val="Subtitle"/>
        <w:ind w:left="2160" w:hanging="2160"/>
      </w:pPr>
      <w:r>
        <w:rPr>
          <w:rFonts w:ascii="Century Gothic" w:hAnsi="Century Gothic" w:cs="Arial"/>
          <w:color w:val="555555"/>
          <w:sz w:val="20"/>
        </w:rPr>
        <w:t>Reason for leaving</w:t>
      </w:r>
      <w:r>
        <w:rPr>
          <w:rFonts w:ascii="Century Gothic" w:hAnsi="Century Gothic" w:cs="Arial"/>
          <w:sz w:val="20"/>
        </w:rPr>
        <w:t xml:space="preserve"> - </w:t>
      </w:r>
      <w:r>
        <w:rPr>
          <w:rFonts w:ascii="Century Gothic" w:hAnsi="Century Gothic" w:cs="Arial"/>
          <w:b w:val="0"/>
          <w:sz w:val="20"/>
        </w:rPr>
        <w:t>To further my</w:t>
      </w:r>
      <w:r>
        <w:rPr>
          <w:rFonts w:ascii="Century Gothic" w:hAnsi="Century Gothic" w:cs="Arial"/>
          <w:b w:val="0"/>
          <w:sz w:val="20"/>
        </w:rPr>
        <w:t xml:space="preserve"> career outside the Clearing Bank environment.</w:t>
      </w:r>
    </w:p>
    <w:p w:rsidR="00F135D2" w:rsidRDefault="008F55FA">
      <w:pPr>
        <w:pStyle w:val="BodyText"/>
        <w:jc w:val="center"/>
      </w:pPr>
      <w:r>
        <w:rPr>
          <w:noProof/>
          <w:lang w:eastAsia="en-GB"/>
        </w:rPr>
        <w:drawing>
          <wp:inline distT="0" distB="0" distL="0" distR="0">
            <wp:extent cx="1905000" cy="19050"/>
            <wp:effectExtent l="0" t="0" r="0" b="0"/>
            <wp:docPr id="15" name="Image10"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Subtitle"/>
        <w:rPr>
          <w:rFonts w:ascii="Century Gothic" w:hAnsi="Century Gothic" w:cs="Arial"/>
          <w:color w:val="9FBE3C"/>
          <w:sz w:val="20"/>
        </w:rPr>
      </w:pPr>
      <w:r>
        <w:rPr>
          <w:rFonts w:ascii="Century Gothic" w:hAnsi="Century Gothic" w:cs="Arial"/>
          <w:color w:val="9FBE3C"/>
          <w:sz w:val="20"/>
        </w:rPr>
        <w:t xml:space="preserve">EDUCATION </w:t>
      </w:r>
    </w:p>
    <w:p w:rsidR="00F135D2" w:rsidRDefault="008F55FA">
      <w:pPr>
        <w:pStyle w:val="Subtitle"/>
      </w:pPr>
      <w:r>
        <w:rPr>
          <w:rFonts w:ascii="Century Gothic" w:hAnsi="Century Gothic" w:cs="Arial"/>
          <w:b w:val="0"/>
          <w:sz w:val="20"/>
        </w:rPr>
        <w:t xml:space="preserve">1984-1987West Kent College of Further Education, Tonbridge, Kent. - </w:t>
      </w:r>
      <w:r>
        <w:rPr>
          <w:rFonts w:ascii="Century Gothic" w:hAnsi="Century Gothic" w:cs="Arial"/>
          <w:sz w:val="20"/>
        </w:rPr>
        <w:t>BTEC National Diploma in Business Studies</w:t>
      </w:r>
    </w:p>
    <w:p w:rsidR="00F135D2" w:rsidRDefault="008F55FA">
      <w:pPr>
        <w:pStyle w:val="BodyText"/>
        <w:jc w:val="center"/>
      </w:pPr>
      <w:r>
        <w:rPr>
          <w:noProof/>
          <w:lang w:eastAsia="en-GB"/>
        </w:rPr>
        <w:drawing>
          <wp:inline distT="0" distB="0" distL="0" distR="0">
            <wp:extent cx="1905000" cy="19050"/>
            <wp:effectExtent l="0" t="0" r="0" b="0"/>
            <wp:docPr id="16" name="Picture 7"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8F55FA">
      <w:pPr>
        <w:pStyle w:val="Subtitle"/>
        <w:rPr>
          <w:rFonts w:ascii="Century Gothic" w:hAnsi="Century Gothic" w:cs="Arial"/>
          <w:color w:val="9FBE3C"/>
          <w:sz w:val="20"/>
        </w:rPr>
      </w:pPr>
      <w:r>
        <w:rPr>
          <w:rFonts w:ascii="Century Gothic" w:hAnsi="Century Gothic" w:cs="Arial"/>
          <w:color w:val="9FBE3C"/>
          <w:sz w:val="20"/>
        </w:rPr>
        <w:t>OTHER INFORMATION</w:t>
      </w:r>
    </w:p>
    <w:p w:rsidR="00F135D2" w:rsidRDefault="008F55FA">
      <w:pPr>
        <w:pStyle w:val="Subtitle"/>
        <w:rPr>
          <w:rFonts w:ascii="Century Gothic" w:hAnsi="Century Gothic" w:cs="Arial"/>
          <w:b w:val="0"/>
          <w:sz w:val="20"/>
        </w:rPr>
      </w:pPr>
      <w:r>
        <w:rPr>
          <w:rFonts w:ascii="Century Gothic" w:hAnsi="Century Gothic" w:cs="Arial"/>
          <w:b w:val="0"/>
          <w:sz w:val="20"/>
        </w:rPr>
        <w:t>From  September 1993 to July 1995 I travelled through Australia, N</w:t>
      </w:r>
      <w:r>
        <w:rPr>
          <w:rFonts w:ascii="Century Gothic" w:hAnsi="Century Gothic" w:cs="Arial"/>
          <w:b w:val="0"/>
          <w:sz w:val="20"/>
        </w:rPr>
        <w:t>ew Zealand and South East Asia, and was able to work as a temporary employee for State Street Australia for eight months.</w:t>
      </w:r>
    </w:p>
    <w:p w:rsidR="00F135D2" w:rsidRDefault="00F135D2">
      <w:pPr>
        <w:pStyle w:val="BodyText"/>
      </w:pPr>
    </w:p>
    <w:p w:rsidR="00F135D2" w:rsidRDefault="008F55FA">
      <w:pPr>
        <w:pStyle w:val="BodyText"/>
        <w:rPr>
          <w:rFonts w:ascii="Century Gothic" w:hAnsi="Century Gothic" w:cs="Arial"/>
        </w:rPr>
      </w:pPr>
      <w:r>
        <w:rPr>
          <w:rFonts w:ascii="Century Gothic" w:hAnsi="Century Gothic" w:cs="Arial"/>
        </w:rPr>
        <w:t>I have completed a bungee jump and tandem skydive in Australiaand a sponsored abseil for the Heart Foundation charity.</w:t>
      </w:r>
    </w:p>
    <w:p w:rsidR="00F135D2" w:rsidRDefault="008F55FA">
      <w:pPr>
        <w:pStyle w:val="BodyText"/>
        <w:rPr>
          <w:rFonts w:ascii="Century Gothic" w:hAnsi="Century Gothic" w:cs="Arial"/>
        </w:rPr>
      </w:pPr>
      <w:r>
        <w:rPr>
          <w:rFonts w:ascii="Century Gothic" w:hAnsi="Century Gothic" w:cs="Arial"/>
        </w:rPr>
        <w:t>Hobbies includ</w:t>
      </w:r>
      <w:r>
        <w:rPr>
          <w:rFonts w:ascii="Century Gothic" w:hAnsi="Century Gothic" w:cs="Arial"/>
        </w:rPr>
        <w:t xml:space="preserve">e most sports including motorbikes, regularly attend gym. Enjoy city breaks within Europe and also visit National Trust houses and gardens. </w:t>
      </w:r>
    </w:p>
    <w:p w:rsidR="00F135D2" w:rsidRDefault="008F55FA">
      <w:pPr>
        <w:pStyle w:val="BodyText"/>
        <w:jc w:val="center"/>
      </w:pPr>
      <w:r>
        <w:rPr>
          <w:noProof/>
          <w:lang w:eastAsia="en-GB"/>
        </w:rPr>
        <w:drawing>
          <wp:inline distT="0" distB="0" distL="0" distR="0">
            <wp:extent cx="1905000" cy="19050"/>
            <wp:effectExtent l="0" t="0" r="0" b="0"/>
            <wp:docPr id="17" name="Picture 9" descr="green-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descr="green-divider"/>
                    <pic:cNvPicPr>
                      <a:picLocks noChangeAspect="1" noChangeArrowheads="1"/>
                    </pic:cNvPicPr>
                  </pic:nvPicPr>
                  <pic:blipFill>
                    <a:blip r:embed="rId11"/>
                    <a:stretch>
                      <a:fillRect/>
                    </a:stretch>
                  </pic:blipFill>
                  <pic:spPr bwMode="auto">
                    <a:xfrm>
                      <a:off x="0" y="0"/>
                      <a:ext cx="1905000" cy="19050"/>
                    </a:xfrm>
                    <a:prstGeom prst="rect">
                      <a:avLst/>
                    </a:prstGeom>
                  </pic:spPr>
                </pic:pic>
              </a:graphicData>
            </a:graphic>
          </wp:inline>
        </w:drawing>
      </w:r>
    </w:p>
    <w:p w:rsidR="00F135D2" w:rsidRDefault="00F135D2">
      <w:pPr>
        <w:pStyle w:val="BodyText"/>
        <w:rPr>
          <w:rFonts w:ascii="Century Gothic" w:hAnsi="Century Gothic"/>
        </w:rPr>
      </w:pPr>
    </w:p>
    <w:p w:rsidR="00F135D2" w:rsidRDefault="008F55FA">
      <w:pPr>
        <w:pStyle w:val="BodyText"/>
        <w:rPr>
          <w:rFonts w:ascii="Century Gothic" w:hAnsi="Century Gothic"/>
        </w:rPr>
      </w:pPr>
      <w:r>
        <w:rPr>
          <w:rFonts w:ascii="Century Gothic" w:hAnsi="Century Gothic"/>
        </w:rPr>
        <w:lastRenderedPageBreak/>
        <w:t>Personal and work references available on request</w:t>
      </w:r>
    </w:p>
    <w:sectPr w:rsidR="00F135D2">
      <w:headerReference w:type="default" r:id="rId12"/>
      <w:footerReference w:type="default" r:id="rId13"/>
      <w:pgSz w:w="11906" w:h="16838"/>
      <w:pgMar w:top="907" w:right="567" w:bottom="907" w:left="567" w:header="720" w:footer="72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5FA" w:rsidRDefault="008F55FA">
      <w:r>
        <w:separator/>
      </w:r>
    </w:p>
  </w:endnote>
  <w:endnote w:type="continuationSeparator" w:id="0">
    <w:p w:rsidR="008F55FA" w:rsidRDefault="008F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D2" w:rsidRDefault="008F55FA">
    <w:pPr>
      <w:pStyle w:val="Footer"/>
      <w:rPr>
        <w:lang w:val="en-US"/>
      </w:rPr>
    </w:pPr>
    <w:bookmarkStart w:id="2" w:name="SSCStd1FooterPrimary"/>
    <w:r>
      <w:rPr>
        <w:rFonts w:ascii="Arial" w:hAnsi="Arial" w:cs="Arial"/>
        <w:color w:val="000000"/>
        <w:sz w:val="18"/>
        <w:lang w:val="en-US"/>
      </w:rPr>
      <w:t>Information Classification: General</w:t>
    </w:r>
    <w:bookmarkEnd w:id="2"/>
  </w:p>
  <w:p w:rsidR="00F135D2" w:rsidRDefault="008F55FA">
    <w:pPr>
      <w:pStyle w:val="Footer"/>
      <w:jc w:val="center"/>
    </w:pPr>
    <w:r>
      <w:rPr>
        <w:lang w:val="en-US"/>
      </w:rPr>
      <w:t xml:space="preserve">Page </w:t>
    </w:r>
    <w:r>
      <w:rPr>
        <w:lang w:val="en-US"/>
      </w:rPr>
      <w:fldChar w:fldCharType="begin"/>
    </w:r>
    <w:r>
      <w:rPr>
        <w:lang w:val="en-US"/>
      </w:rPr>
      <w:instrText>PAGE</w:instrText>
    </w:r>
    <w:r>
      <w:rPr>
        <w:lang w:val="en-US"/>
      </w:rPr>
      <w:fldChar w:fldCharType="separate"/>
    </w:r>
    <w:r w:rsidR="000144AB">
      <w:rPr>
        <w:noProof/>
        <w:lang w:val="en-US"/>
      </w:rPr>
      <w:t>2</w:t>
    </w:r>
    <w:r>
      <w:rPr>
        <w:lang w:val="en-US"/>
      </w:rPr>
      <w:fldChar w:fldCharType="end"/>
    </w:r>
    <w:r>
      <w:rPr>
        <w:lang w:val="en-US"/>
      </w:rPr>
      <w:t xml:space="preserve"> of </w:t>
    </w:r>
    <w:r>
      <w:rPr>
        <w:lang w:val="en-US"/>
      </w:rPr>
      <w:fldChar w:fldCharType="begin"/>
    </w:r>
    <w:r>
      <w:rPr>
        <w:lang w:val="en-US"/>
      </w:rPr>
      <w:instrText>NUMPAGES</w:instrText>
    </w:r>
    <w:r>
      <w:rPr>
        <w:lang w:val="en-US"/>
      </w:rPr>
      <w:fldChar w:fldCharType="separate"/>
    </w:r>
    <w:r w:rsidR="000144AB">
      <w:rPr>
        <w:noProof/>
        <w:lang w:val="en-US"/>
      </w:rPr>
      <w:t>4</w:t>
    </w:r>
    <w:r>
      <w:rPr>
        <w:lang w:val="en-US"/>
      </w:rPr>
      <w:fldChar w:fldCharType="end"/>
    </w:r>
  </w:p>
  <w:p w:rsidR="00F135D2" w:rsidRDefault="008F55FA">
    <w:pPr>
      <w:pStyle w:val="Footer"/>
    </w:pPr>
    <w:r>
      <w:t>NTAC:2SE-18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5FA" w:rsidRDefault="008F55FA">
      <w:r>
        <w:separator/>
      </w:r>
    </w:p>
  </w:footnote>
  <w:footnote w:type="continuationSeparator" w:id="0">
    <w:p w:rsidR="008F55FA" w:rsidRDefault="008F5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D2" w:rsidRDefault="00F13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D2"/>
    <w:rsid w:val="000144AB"/>
    <w:rsid w:val="008F55FA"/>
    <w:rsid w:val="00F135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DefaultParagraphFont">
    <w:name w:val="WW-Default Paragraph Font"/>
    <w:qFormat/>
  </w:style>
  <w:style w:type="character" w:styleId="Hyperlink">
    <w:name w:val="Hyperlink"/>
    <w:rPr>
      <w:color w:val="0000FF"/>
      <w:u w:val="single"/>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cs="Tahoma"/>
    </w:rPr>
  </w:style>
  <w:style w:type="paragraph" w:styleId="Title">
    <w:name w:val="Title"/>
    <w:basedOn w:val="Normal"/>
    <w:next w:val="Subtitle"/>
    <w:uiPriority w:val="10"/>
    <w:qFormat/>
    <w:pPr>
      <w:jc w:val="center"/>
    </w:pPr>
    <w:rPr>
      <w:b/>
      <w:sz w:val="48"/>
    </w:rPr>
  </w:style>
  <w:style w:type="paragraph" w:styleId="Subtitle">
    <w:name w:val="Subtitle"/>
    <w:basedOn w:val="Normal"/>
    <w:next w:val="BodyText"/>
    <w:uiPriority w:val="11"/>
    <w:qFormat/>
    <w:rPr>
      <w:b/>
      <w:sz w:val="24"/>
    </w:r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customStyle="1" w:styleId="msolistparagraphcxspmiddle">
    <w:name w:val="msolistparagraphcxspmiddle"/>
    <w:basedOn w:val="Normal"/>
    <w:qFormat/>
    <w:pPr>
      <w:suppressAutoHyphens w:val="0"/>
      <w:spacing w:before="280" w:after="280"/>
    </w:pPr>
    <w:rPr>
      <w:rFonts w:ascii="Arial" w:eastAsia="Batang" w:hAnsi="Arial" w:cs="Arial"/>
      <w:lang w:eastAsia="ko-KR"/>
    </w:rPr>
  </w:style>
  <w:style w:type="paragraph" w:customStyle="1" w:styleId="msolistparagraphcxsplast">
    <w:name w:val="msolistparagraphcxsplast"/>
    <w:basedOn w:val="Normal"/>
    <w:qFormat/>
    <w:pPr>
      <w:suppressAutoHyphens w:val="0"/>
      <w:spacing w:before="280" w:after="280"/>
    </w:pPr>
    <w:rPr>
      <w:rFonts w:ascii="Arial" w:eastAsia="Batang" w:hAnsi="Arial" w:cs="Arial"/>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DefaultParagraphFont">
    <w:name w:val="WW-Default Paragraph Font"/>
    <w:qFormat/>
  </w:style>
  <w:style w:type="character" w:styleId="Hyperlink">
    <w:name w:val="Hyperlink"/>
    <w:rPr>
      <w:color w:val="0000FF"/>
      <w:u w:val="single"/>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cs="Tahoma"/>
    </w:rPr>
  </w:style>
  <w:style w:type="paragraph" w:styleId="Title">
    <w:name w:val="Title"/>
    <w:basedOn w:val="Normal"/>
    <w:next w:val="Subtitle"/>
    <w:uiPriority w:val="10"/>
    <w:qFormat/>
    <w:pPr>
      <w:jc w:val="center"/>
    </w:pPr>
    <w:rPr>
      <w:b/>
      <w:sz w:val="48"/>
    </w:rPr>
  </w:style>
  <w:style w:type="paragraph" w:styleId="Subtitle">
    <w:name w:val="Subtitle"/>
    <w:basedOn w:val="Normal"/>
    <w:next w:val="BodyText"/>
    <w:uiPriority w:val="11"/>
    <w:qFormat/>
    <w:rPr>
      <w:b/>
      <w:sz w:val="24"/>
    </w:r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customStyle="1" w:styleId="msolistparagraphcxspmiddle">
    <w:name w:val="msolistparagraphcxspmiddle"/>
    <w:basedOn w:val="Normal"/>
    <w:qFormat/>
    <w:pPr>
      <w:suppressAutoHyphens w:val="0"/>
      <w:spacing w:before="280" w:after="280"/>
    </w:pPr>
    <w:rPr>
      <w:rFonts w:ascii="Arial" w:eastAsia="Batang" w:hAnsi="Arial" w:cs="Arial"/>
      <w:lang w:eastAsia="ko-KR"/>
    </w:rPr>
  </w:style>
  <w:style w:type="paragraph" w:customStyle="1" w:styleId="msolistparagraphcxsplast">
    <w:name w:val="msolistparagraphcxsplast"/>
    <w:basedOn w:val="Normal"/>
    <w:qFormat/>
    <w:pPr>
      <w:suppressAutoHyphens w:val="0"/>
      <w:spacing w:before="280" w:after="280"/>
    </w:pPr>
    <w:rPr>
      <w:rFonts w:ascii="Arial" w:eastAsia="Batang"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anpross.co.uk/" TargetMode="External"/><Relationship Id="rId4" Type="http://schemas.openxmlformats.org/officeDocument/2006/relationships/settings" Target="settings.xml"/><Relationship Id="rId9" Type="http://schemas.openxmlformats.org/officeDocument/2006/relationships/hyperlink" Target="mailto:cv@ianpros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CCA10-0D7C-4EDE-B58D-3D5F43EF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Ian Paul Ross CV</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Ian Paul Ross CV</dc:title>
  <dc:subject/>
  <dc:creator>Ian Ross</dc:creator>
  <cp:keywords>General General General</cp:keywords>
  <dc:description/>
  <cp:lastModifiedBy>webexpand</cp:lastModifiedBy>
  <cp:revision>4</cp:revision>
  <cp:lastPrinted>2024-06-06T08:54:00Z</cp:lastPrinted>
  <dcterms:created xsi:type="dcterms:W3CDTF">2024-03-15T08:05:00Z</dcterms:created>
  <dcterms:modified xsi:type="dcterms:W3CDTF">2024-06-06T08:56:00Z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TT_RBC_Internal</vt:lpwstr>
  </property>
  <property fmtid="{D5CDD505-2E9C-101B-9397-08002B2CF9AE}" pid="3" name="DocumentPath">
    <vt:lpwstr/>
  </property>
  <property fmtid="{D5CDD505-2E9C-101B-9397-08002B2CF9AE}" pid="4" name="SSCClassification">
    <vt:lpwstr>G</vt:lpwstr>
  </property>
  <property fmtid="{D5CDD505-2E9C-101B-9397-08002B2CF9AE}" pid="5" name="SSCVisualMarks">
    <vt:lpwstr>Y</vt:lpwstr>
  </property>
  <property fmtid="{D5CDD505-2E9C-101B-9397-08002B2CF9AE}" pid="6" name="TitusGUID">
    <vt:lpwstr>2f22ba41-a4ce-4ed1-94fb-b7009448df75</vt:lpwstr>
  </property>
  <property fmtid="{D5CDD505-2E9C-101B-9397-08002B2CF9AE}" pid="7" name="XSensitivityLevel">
    <vt:lpwstr>2SE-18</vt:lpwstr>
  </property>
  <property fmtid="{D5CDD505-2E9C-101B-9397-08002B2CF9AE}" pid="8" name="_AdHocReviewCycleID">
    <vt:i4>-1055744153</vt:i4>
  </property>
  <property fmtid="{D5CDD505-2E9C-101B-9397-08002B2CF9AE}" pid="9" name="_AuthorEmail">
    <vt:lpwstr>IRoss@StateStreet.com</vt:lpwstr>
  </property>
  <property fmtid="{D5CDD505-2E9C-101B-9397-08002B2CF9AE}" pid="10" name="_AuthorEmailDisplayName">
    <vt:lpwstr>Ross, Ian</vt:lpwstr>
  </property>
  <property fmtid="{D5CDD505-2E9C-101B-9397-08002B2CF9AE}" pid="11" name="_EmailSubject">
    <vt:lpwstr>CV UPDATES 2024</vt:lpwstr>
  </property>
  <property fmtid="{D5CDD505-2E9C-101B-9397-08002B2CF9AE}" pid="12" name="_NewReviewCycle">
    <vt:lpwstr/>
  </property>
  <property fmtid="{D5CDD505-2E9C-101B-9397-08002B2CF9AE}" pid="13" name="xNTACLog">
    <vt:lpwstr>2SE-18201808301215Sir27;2SE-18201808301206Sir27;2SE-18201808301132Sir27;2SE-18201808300956Sir27;2SE-18201808300833Sir27;2SE-18201803150825Sir27</vt:lpwstr>
  </property>
  <property fmtid="{D5CDD505-2E9C-101B-9397-08002B2CF9AE}" pid="14" name="xNTACLog1">
    <vt:lpwstr>2SE-18201711031608Sir27;;2SE-18201808301215Sir27</vt:lpwstr>
  </property>
  <property fmtid="{D5CDD505-2E9C-101B-9397-08002B2CF9AE}" pid="15" name="_ReviewingToolsShownOnce">
    <vt:lpwstr/>
  </property>
</Properties>
</file>